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5726E9" w14:textId="15C85C5B" w:rsidR="003C5575" w:rsidRDefault="003C5575" w:rsidP="00380832"/>
    <w:p w14:paraId="35E358A4" w14:textId="77777777" w:rsidR="008D38CB" w:rsidRDefault="008D38CB" w:rsidP="00380832"/>
    <w:p w14:paraId="6301576B" w14:textId="77777777" w:rsidR="00AA6D5A" w:rsidRPr="00DE7C60" w:rsidRDefault="00AA6D5A" w:rsidP="00AA6D5A">
      <w:pPr>
        <w:jc w:val="center"/>
        <w:rPr>
          <w:b/>
          <w:sz w:val="28"/>
          <w:szCs w:val="28"/>
        </w:rPr>
      </w:pPr>
      <w:r w:rsidRPr="00DE7C60">
        <w:rPr>
          <w:b/>
          <w:sz w:val="28"/>
          <w:szCs w:val="28"/>
        </w:rPr>
        <w:t>UNIVERSITY OF CAPE TOWN CENTRE FOR MINERALS</w:t>
      </w:r>
    </w:p>
    <w:p w14:paraId="427AA59B" w14:textId="77777777" w:rsidR="003D5C39" w:rsidRDefault="003D5C39" w:rsidP="00AA6D5A">
      <w:pPr>
        <w:jc w:val="center"/>
        <w:rPr>
          <w:b/>
          <w:sz w:val="28"/>
          <w:szCs w:val="28"/>
        </w:rPr>
      </w:pPr>
    </w:p>
    <w:p w14:paraId="45839443" w14:textId="77777777" w:rsidR="00AA6D5A" w:rsidRPr="00DE7C60" w:rsidRDefault="00AA6D5A" w:rsidP="00AA6D5A">
      <w:pPr>
        <w:jc w:val="center"/>
        <w:rPr>
          <w:b/>
          <w:sz w:val="28"/>
          <w:szCs w:val="28"/>
        </w:rPr>
      </w:pPr>
      <w:r w:rsidRPr="00DE7C60">
        <w:rPr>
          <w:b/>
          <w:sz w:val="28"/>
          <w:szCs w:val="28"/>
        </w:rPr>
        <w:t>RESEARCH POST-DOCTORAL FELLOWSHIPS</w:t>
      </w:r>
    </w:p>
    <w:p w14:paraId="63DBB9DC" w14:textId="77777777" w:rsidR="00AA6D5A" w:rsidRPr="00DE7C60" w:rsidRDefault="00AA6D5A" w:rsidP="00AA6D5A">
      <w:pPr>
        <w:jc w:val="center"/>
        <w:rPr>
          <w:b/>
          <w:sz w:val="28"/>
          <w:szCs w:val="28"/>
        </w:rPr>
      </w:pPr>
    </w:p>
    <w:p w14:paraId="36391BD0" w14:textId="1310C0E4" w:rsidR="00AA6D5A" w:rsidRDefault="00AA6D5A" w:rsidP="00AA6D5A">
      <w:pPr>
        <w:jc w:val="both"/>
      </w:pPr>
      <w:r>
        <w:t xml:space="preserve"> The Centre for Minerals Research (CMR) at the University of Cape Town (UCT) is a multi-disciplinary, inter-departmental Research Centre based in the Department of Chemical Engineering, and has close collaboration with groups in the Department of Physics, Mechanical Engineering and the Centre for Research into Computational and Applied Mechanics (CERECAM). The </w:t>
      </w:r>
      <w:proofErr w:type="gramStart"/>
      <w:r>
        <w:t>main focus</w:t>
      </w:r>
      <w:proofErr w:type="gramEnd"/>
      <w:r>
        <w:t xml:space="preserve"> of research is on the processes of froth flotation, comminution and classification, arguably the most important unit operations in mineral beneficiation. The Centre also has very active research groups </w:t>
      </w:r>
      <w:proofErr w:type="gramStart"/>
      <w:r>
        <w:t>in the area of</w:t>
      </w:r>
      <w:proofErr w:type="gramEnd"/>
      <w:r>
        <w:t xml:space="preserve"> process mineralogy, circuit modelling, fundamentals of particle tracking, etc. The Centre has a strong tradition of carrying out research at both laboratory and concentrator levels </w:t>
      </w:r>
      <w:proofErr w:type="gramStart"/>
      <w:r>
        <w:t>so as to</w:t>
      </w:r>
      <w:proofErr w:type="gramEnd"/>
      <w:r>
        <w:t xml:space="preserve"> ensure that its fundamental research is also highly relevant to industry’s </w:t>
      </w:r>
      <w:r w:rsidR="004B2894">
        <w:t>short- and long-term</w:t>
      </w:r>
      <w:r>
        <w:t xml:space="preserve"> needs. The Centre enjoys extensive support from a wide spectrum of leading international mining and mineral processing companies and has close links to many research groups at Universities and Research </w:t>
      </w:r>
      <w:proofErr w:type="spellStart"/>
      <w:r>
        <w:t>Organisations</w:t>
      </w:r>
      <w:proofErr w:type="spellEnd"/>
      <w:r>
        <w:t xml:space="preserve"> both nationally and globally. </w:t>
      </w:r>
    </w:p>
    <w:p w14:paraId="6194FC7F" w14:textId="77777777" w:rsidR="00AA6D5A" w:rsidRDefault="00AA6D5A" w:rsidP="00AA6D5A">
      <w:pPr>
        <w:jc w:val="both"/>
      </w:pPr>
    </w:p>
    <w:p w14:paraId="2BA77E89" w14:textId="5ACAE200" w:rsidR="00AA6D5A" w:rsidRDefault="00AA6D5A" w:rsidP="00AA6D5A">
      <w:pPr>
        <w:jc w:val="both"/>
      </w:pPr>
      <w:r>
        <w:t xml:space="preserve">The Centre invites applications from suitable qualified candidates for Post-Doctoral Fellowship positions within the Centre.  </w:t>
      </w:r>
    </w:p>
    <w:p w14:paraId="344CEE4C" w14:textId="77777777" w:rsidR="00AA6D5A" w:rsidRDefault="00AA6D5A" w:rsidP="00AA6D5A">
      <w:pPr>
        <w:jc w:val="both"/>
      </w:pPr>
    </w:p>
    <w:p w14:paraId="065E9A5A" w14:textId="77777777" w:rsidR="00AA6D5A" w:rsidRDefault="00AA6D5A" w:rsidP="00AA6D5A">
      <w:pPr>
        <w:pStyle w:val="ListParagraph"/>
        <w:numPr>
          <w:ilvl w:val="0"/>
          <w:numId w:val="4"/>
        </w:numPr>
        <w:jc w:val="both"/>
      </w:pPr>
      <w:r>
        <w:t>The Fellowship is available for one year but may be renewed for up to two further years, contingent on satisfactory progress and availability of funds. The date of commencement is flexible and by arrangement.</w:t>
      </w:r>
    </w:p>
    <w:p w14:paraId="5452F237" w14:textId="00EEEABB" w:rsidR="00AA6D5A" w:rsidRDefault="00AA6D5A" w:rsidP="00AA6D5A">
      <w:pPr>
        <w:pStyle w:val="ListParagraph"/>
        <w:numPr>
          <w:ilvl w:val="0"/>
          <w:numId w:val="4"/>
        </w:numPr>
        <w:jc w:val="both"/>
      </w:pPr>
      <w:r>
        <w:t xml:space="preserve">Applicants must hold a PhD degree in an appropriate area of minerals </w:t>
      </w:r>
      <w:proofErr w:type="gramStart"/>
      <w:r>
        <w:t>processing</w:t>
      </w:r>
      <w:proofErr w:type="gramEnd"/>
      <w:r>
        <w:t xml:space="preserve"> or the thesis must at least be under examination. Before the Fellowship is finally awarded the candidate must provide evidence that the PhD has been awarded.  Apart from conducting research in the Centre, the Fellow will be expected to assist in the supervision of research students. </w:t>
      </w:r>
    </w:p>
    <w:p w14:paraId="2CA54ACB" w14:textId="79E278E3" w:rsidR="00AA6D5A" w:rsidRDefault="00AA6D5A" w:rsidP="00AA6D5A">
      <w:pPr>
        <w:pStyle w:val="ListParagraph"/>
        <w:numPr>
          <w:ilvl w:val="0"/>
          <w:numId w:val="4"/>
        </w:numPr>
        <w:jc w:val="both"/>
      </w:pPr>
      <w:r>
        <w:t>The 20</w:t>
      </w:r>
      <w:r w:rsidR="00090A66">
        <w:t>2</w:t>
      </w:r>
      <w:r w:rsidR="00106E45">
        <w:t>1</w:t>
      </w:r>
      <w:r>
        <w:t>/</w:t>
      </w:r>
      <w:r w:rsidR="009F79E0">
        <w:t>2</w:t>
      </w:r>
      <w:r w:rsidR="00090A66">
        <w:t>2</w:t>
      </w:r>
      <w:r>
        <w:t xml:space="preserve"> Fellowship awards are in the range R</w:t>
      </w:r>
      <w:r w:rsidR="008B5784">
        <w:t>2</w:t>
      </w:r>
      <w:r w:rsidR="00FD3528">
        <w:t>50</w:t>
      </w:r>
      <w:r w:rsidR="008B5784">
        <w:t>,000 – R</w:t>
      </w:r>
      <w:r w:rsidR="00FD3528">
        <w:t>3</w:t>
      </w:r>
      <w:r w:rsidR="008B5784">
        <w:t>50,000</w:t>
      </w:r>
      <w:r>
        <w:t xml:space="preserve"> per annum. An individual application to the South Africa Revenue Services for tax-exemption is made by the University on behalf of the successful candidate and this is usually granted.</w:t>
      </w:r>
    </w:p>
    <w:p w14:paraId="71A0626F" w14:textId="77777777" w:rsidR="00AA6D5A" w:rsidRDefault="00AA6D5A" w:rsidP="00AA6D5A">
      <w:pPr>
        <w:jc w:val="both"/>
      </w:pPr>
    </w:p>
    <w:p w14:paraId="31C1B452" w14:textId="77777777" w:rsidR="00AA6D5A" w:rsidRDefault="00AA6D5A" w:rsidP="00AA6D5A">
      <w:pPr>
        <w:jc w:val="both"/>
      </w:pPr>
      <w:r>
        <w:t xml:space="preserve">Further information on the activities of the Centre can be found at </w:t>
      </w:r>
      <w:proofErr w:type="gramStart"/>
      <w:r>
        <w:t>www.cmr.uct.ac.za .</w:t>
      </w:r>
      <w:proofErr w:type="gramEnd"/>
      <w:r>
        <w:t xml:space="preserve"> </w:t>
      </w:r>
    </w:p>
    <w:p w14:paraId="0B4B15FF" w14:textId="237E4883" w:rsidR="00AA6D5A" w:rsidRDefault="00AA6D5A" w:rsidP="00AA6D5A">
      <w:pPr>
        <w:jc w:val="both"/>
      </w:pPr>
      <w:r>
        <w:t xml:space="preserve">Although Fellowships are often funded by the CMR, applicants are encouraged to apply for alternative sources of funding. Further information in this regard may be found at </w:t>
      </w:r>
      <w:hyperlink r:id="rId8" w:history="1">
        <w:r w:rsidRPr="00BE48CF">
          <w:rPr>
            <w:rStyle w:val="Hyperlink"/>
          </w:rPr>
          <w:t>http://www.uct.ac.za/research/pgfo/about/</w:t>
        </w:r>
      </w:hyperlink>
      <w:r>
        <w:t xml:space="preserve"> </w:t>
      </w:r>
    </w:p>
    <w:p w14:paraId="3EB07CEB" w14:textId="77777777" w:rsidR="00AA6D5A" w:rsidRDefault="00AA6D5A" w:rsidP="00AA6D5A">
      <w:pPr>
        <w:jc w:val="both"/>
      </w:pPr>
    </w:p>
    <w:p w14:paraId="26FA35F8" w14:textId="77777777" w:rsidR="00AA6D5A" w:rsidRDefault="00AA6D5A" w:rsidP="00AA6D5A">
      <w:pPr>
        <w:jc w:val="both"/>
      </w:pPr>
    </w:p>
    <w:p w14:paraId="67F53F03" w14:textId="77777777" w:rsidR="00AA6D5A" w:rsidRDefault="00AA6D5A" w:rsidP="00AA6D5A">
      <w:pPr>
        <w:jc w:val="both"/>
      </w:pPr>
    </w:p>
    <w:p w14:paraId="13B5071C" w14:textId="77777777" w:rsidR="00AA6D5A" w:rsidRDefault="00AA6D5A" w:rsidP="00AA6D5A">
      <w:pPr>
        <w:jc w:val="both"/>
      </w:pPr>
      <w:r>
        <w:t xml:space="preserve">Applicants are required to submit the following: </w:t>
      </w:r>
    </w:p>
    <w:p w14:paraId="0912731C" w14:textId="77777777" w:rsidR="00AA6D5A" w:rsidRDefault="00AA6D5A" w:rsidP="00AA6D5A">
      <w:pPr>
        <w:jc w:val="both"/>
      </w:pPr>
    </w:p>
    <w:p w14:paraId="206354F5" w14:textId="7C428C3F" w:rsidR="00AA6D5A" w:rsidRDefault="00AA6D5A" w:rsidP="00AA6D5A">
      <w:pPr>
        <w:pStyle w:val="ListParagraph"/>
        <w:numPr>
          <w:ilvl w:val="0"/>
          <w:numId w:val="3"/>
        </w:numPr>
        <w:jc w:val="both"/>
      </w:pPr>
      <w:r>
        <w:t xml:space="preserve">A letter of application </w:t>
      </w:r>
    </w:p>
    <w:p w14:paraId="4BBF5487" w14:textId="31779F19" w:rsidR="00AA6D5A" w:rsidRDefault="00AA6D5A" w:rsidP="00AA6D5A">
      <w:pPr>
        <w:pStyle w:val="ListParagraph"/>
        <w:numPr>
          <w:ilvl w:val="0"/>
          <w:numId w:val="3"/>
        </w:numPr>
        <w:jc w:val="both"/>
      </w:pPr>
      <w:r>
        <w:t xml:space="preserve">A full Curriculum Vitae </w:t>
      </w:r>
    </w:p>
    <w:p w14:paraId="4459B3EE" w14:textId="5CF39600" w:rsidR="00AA6D5A" w:rsidRDefault="00AA6D5A" w:rsidP="00AA6D5A">
      <w:pPr>
        <w:pStyle w:val="ListParagraph"/>
        <w:numPr>
          <w:ilvl w:val="0"/>
          <w:numId w:val="3"/>
        </w:numPr>
        <w:jc w:val="both"/>
      </w:pPr>
      <w:r>
        <w:t xml:space="preserve">The names and contact details of at least two referees </w:t>
      </w:r>
    </w:p>
    <w:p w14:paraId="721D8D6A" w14:textId="77777777" w:rsidR="00AA6D5A" w:rsidRDefault="00AA6D5A" w:rsidP="00AA6D5A">
      <w:pPr>
        <w:pStyle w:val="ListParagraph"/>
        <w:numPr>
          <w:ilvl w:val="0"/>
          <w:numId w:val="3"/>
        </w:numPr>
        <w:jc w:val="both"/>
      </w:pPr>
      <w:r>
        <w:t xml:space="preserve">Certified academic transcripts </w:t>
      </w:r>
    </w:p>
    <w:p w14:paraId="575756B7" w14:textId="77777777" w:rsidR="00AA6D5A" w:rsidRDefault="00AA6D5A" w:rsidP="00AA6D5A">
      <w:pPr>
        <w:jc w:val="both"/>
      </w:pPr>
    </w:p>
    <w:p w14:paraId="228AF72D" w14:textId="72C6FFFC" w:rsidR="00AA6D5A" w:rsidRDefault="00AA6D5A" w:rsidP="00AA6D5A">
      <w:pPr>
        <w:jc w:val="both"/>
      </w:pPr>
      <w:r>
        <w:t xml:space="preserve">Applications may be submitted at any time by email or in writing to: </w:t>
      </w:r>
    </w:p>
    <w:p w14:paraId="56621656" w14:textId="77777777" w:rsidR="00AA6D5A" w:rsidRDefault="00AA6D5A" w:rsidP="00AA6D5A">
      <w:pPr>
        <w:jc w:val="both"/>
      </w:pPr>
    </w:p>
    <w:p w14:paraId="2B8E5DF7" w14:textId="1C33B9C5" w:rsidR="000735E4" w:rsidRDefault="00AA6D5A" w:rsidP="00AA6D5A">
      <w:r>
        <w:t xml:space="preserve">Professor </w:t>
      </w:r>
      <w:r w:rsidR="009F79E0">
        <w:t>David Deglon</w:t>
      </w:r>
      <w:r>
        <w:t xml:space="preserve"> (</w:t>
      </w:r>
      <w:r w:rsidR="009F79E0">
        <w:t>david.deglon@uct.ac.za)</w:t>
      </w:r>
    </w:p>
    <w:p w14:paraId="0BFFD6F5" w14:textId="0387A21B" w:rsidR="00AA6D5A" w:rsidRDefault="00AA6D5A" w:rsidP="00AA6D5A">
      <w:r>
        <w:t xml:space="preserve">or </w:t>
      </w:r>
      <w:proofErr w:type="spellStart"/>
      <w:r>
        <w:t>Ms</w:t>
      </w:r>
      <w:proofErr w:type="spellEnd"/>
      <w:r>
        <w:t xml:space="preserve"> H Sundstrom (</w:t>
      </w:r>
      <w:hyperlink r:id="rId9" w:history="1">
        <w:r w:rsidR="009F79E0" w:rsidRPr="00C46F60">
          <w:rPr>
            <w:rStyle w:val="Hyperlink"/>
          </w:rPr>
          <w:t>heather.sundstrom@uct.ac.za</w:t>
        </w:r>
      </w:hyperlink>
      <w:r>
        <w:t xml:space="preserve">) </w:t>
      </w:r>
    </w:p>
    <w:p w14:paraId="55BDBE39" w14:textId="77777777" w:rsidR="000735E4" w:rsidRDefault="000735E4" w:rsidP="00AA6D5A"/>
    <w:p w14:paraId="76E3FB80" w14:textId="77777777" w:rsidR="00AA6D5A" w:rsidRDefault="00AA6D5A" w:rsidP="00AA6D5A">
      <w:r>
        <w:t xml:space="preserve">Centre for Minerals Research </w:t>
      </w:r>
    </w:p>
    <w:p w14:paraId="2BF2C904" w14:textId="77777777" w:rsidR="00AA6D5A" w:rsidRDefault="00AA6D5A" w:rsidP="00AA6D5A">
      <w:r>
        <w:t xml:space="preserve">Department of Chemical Engineering </w:t>
      </w:r>
    </w:p>
    <w:p w14:paraId="24AD0B72" w14:textId="77777777" w:rsidR="00AA6D5A" w:rsidRDefault="00AA6D5A" w:rsidP="00AA6D5A">
      <w:r>
        <w:t>University of Cape Town</w:t>
      </w:r>
    </w:p>
    <w:p w14:paraId="6B377DA7" w14:textId="77777777" w:rsidR="000735E4" w:rsidRDefault="00AA6D5A" w:rsidP="00AA6D5A">
      <w:r>
        <w:t xml:space="preserve"> Private Bag X3 </w:t>
      </w:r>
    </w:p>
    <w:p w14:paraId="00980AFE" w14:textId="77777777" w:rsidR="000735E4" w:rsidRDefault="00AA6D5A" w:rsidP="00AA6D5A">
      <w:r>
        <w:t xml:space="preserve">7701 Rondebosch </w:t>
      </w:r>
    </w:p>
    <w:p w14:paraId="7F761FDC" w14:textId="63EA73E9" w:rsidR="00AA6D5A" w:rsidRDefault="00AA6D5A" w:rsidP="00AA6D5A">
      <w:r>
        <w:t>South Africa</w:t>
      </w:r>
    </w:p>
    <w:p w14:paraId="61478EE7" w14:textId="77777777" w:rsidR="008D38CB" w:rsidRDefault="008D38CB" w:rsidP="00AA6D5A"/>
    <w:p w14:paraId="11422DD4" w14:textId="77777777" w:rsidR="008D38CB" w:rsidRDefault="008D38CB" w:rsidP="00380832"/>
    <w:p w14:paraId="2F6F77DD" w14:textId="77777777" w:rsidR="008D38CB" w:rsidRDefault="008D38CB" w:rsidP="00380832"/>
    <w:p w14:paraId="62562E54" w14:textId="77777777" w:rsidR="008D38CB" w:rsidRDefault="008D38CB" w:rsidP="00380832"/>
    <w:p w14:paraId="1F3C2C93" w14:textId="77777777" w:rsidR="008D38CB" w:rsidRDefault="008D38CB" w:rsidP="00380832"/>
    <w:p w14:paraId="6286D7FF" w14:textId="77777777" w:rsidR="008D38CB" w:rsidRDefault="008D38CB" w:rsidP="00380832"/>
    <w:sectPr w:rsidR="008D38CB" w:rsidSect="003C5575">
      <w:headerReference w:type="default" r:id="rId10"/>
      <w:footerReference w:type="default" r:id="rId11"/>
      <w:pgSz w:w="11900" w:h="16820"/>
      <w:pgMar w:top="2410" w:right="701" w:bottom="3261" w:left="993" w:header="708"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E320E4" w14:textId="77777777" w:rsidR="00FF75FB" w:rsidRDefault="00FF75FB" w:rsidP="00372263">
      <w:r>
        <w:separator/>
      </w:r>
    </w:p>
  </w:endnote>
  <w:endnote w:type="continuationSeparator" w:id="0">
    <w:p w14:paraId="620E6007" w14:textId="77777777" w:rsidR="00FF75FB" w:rsidRDefault="00FF75FB" w:rsidP="00372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00000000" w:usb1="5000A1FF" w:usb2="00000000" w:usb3="00000000" w:csb0="000001BF" w:csb1="00000000"/>
  </w:font>
  <w:font w:name="ArialMT">
    <w:altName w:val="Times New 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FEC8F" w14:textId="755DF23D" w:rsidR="00C227A1" w:rsidRDefault="00AA6D5A" w:rsidP="005967AD">
    <w:pPr>
      <w:pStyle w:val="Footer"/>
    </w:pPr>
    <w:r>
      <w:rPr>
        <w:noProof/>
        <w:lang w:val="en-ZA" w:eastAsia="en-ZA"/>
      </w:rPr>
      <mc:AlternateContent>
        <mc:Choice Requires="wps">
          <w:drawing>
            <wp:anchor distT="0" distB="0" distL="114300" distR="114300" simplePos="0" relativeHeight="251660288" behindDoc="0" locked="0" layoutInCell="1" allowOverlap="1" wp14:anchorId="51607CBE" wp14:editId="095C5517">
              <wp:simplePos x="0" y="0"/>
              <wp:positionH relativeFrom="column">
                <wp:posOffset>-504825</wp:posOffset>
              </wp:positionH>
              <wp:positionV relativeFrom="paragraph">
                <wp:posOffset>-786765</wp:posOffset>
              </wp:positionV>
              <wp:extent cx="7071995" cy="1256030"/>
              <wp:effectExtent l="0" t="0" r="0" b="1270"/>
              <wp:wrapSquare wrapText="bothSides"/>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7071995" cy="12560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a:ext>
                      </a:extLst>
                    </wps:spPr>
                    <wps:txbx>
                      <w:txbxContent>
                        <w:p w14:paraId="7FCB64EA" w14:textId="77777777" w:rsidR="00C227A1" w:rsidRDefault="00C227A1" w:rsidP="004D5FD7">
                          <w:pPr>
                            <w:pStyle w:val="BasicParagraph"/>
                            <w:tabs>
                              <w:tab w:val="left" w:pos="283"/>
                            </w:tabs>
                            <w:suppressAutoHyphens/>
                            <w:jc w:val="right"/>
                            <w:rPr>
                              <w:rFonts w:ascii="ArialMT" w:hAnsi="ArialMT" w:cs="ArialMT"/>
                              <w:color w:val="808284"/>
                              <w:sz w:val="18"/>
                              <w:szCs w:val="18"/>
                            </w:rPr>
                          </w:pPr>
                        </w:p>
                        <w:p w14:paraId="38EB601E" w14:textId="77777777" w:rsidR="00C227A1" w:rsidRDefault="00C227A1" w:rsidP="004D5FD7">
                          <w:pPr>
                            <w:pStyle w:val="BasicParagraph"/>
                            <w:tabs>
                              <w:tab w:val="left" w:pos="283"/>
                            </w:tabs>
                            <w:suppressAutoHyphens/>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607CBE" id="_x0000_t202" coordsize="21600,21600" o:spt="202" path="m,l,21600r21600,l21600,xe">
              <v:stroke joinstyle="miter"/>
              <v:path gradientshapeok="t" o:connecttype="rect"/>
            </v:shapetype>
            <v:shape id="Text Box 1" o:spid="_x0000_s1026" type="#_x0000_t202" style="position:absolute;margin-left:-39.75pt;margin-top:-61.95pt;width:556.85pt;height:9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" filled="f" stroked="f">
              <o:lock v:ext="edit" aspectratio="t"/>
              <v:textbox>
                <w:txbxContent>
                  <w:p w14:paraId="7FCB64EA" w14:textId="77777777" w:rsidR="00C227A1" w:rsidRDefault="00C227A1" w:rsidP="004D5FD7">
                    <w:pPr>
                      <w:pStyle w:val="BasicParagraph"/>
                      <w:tabs>
                        <w:tab w:val="left" w:pos="283"/>
                      </w:tabs>
                      <w:suppressAutoHyphens/>
                      <w:jc w:val="right"/>
                      <w:rPr>
                        <w:rFonts w:ascii="ArialMT" w:hAnsi="ArialMT" w:cs="ArialMT"/>
                        <w:color w:val="808284"/>
                        <w:sz w:val="18"/>
                        <w:szCs w:val="18"/>
                      </w:rPr>
                    </w:pPr>
                  </w:p>
                  <w:p w14:paraId="38EB601E" w14:textId="77777777" w:rsidR="00C227A1" w:rsidRDefault="00C227A1" w:rsidP="004D5FD7">
                    <w:pPr>
                      <w:pStyle w:val="BasicParagraph"/>
                      <w:tabs>
                        <w:tab w:val="left" w:pos="283"/>
                      </w:tabs>
                      <w:suppressAutoHyphens/>
                      <w:jc w:val="right"/>
                    </w:pPr>
                  </w:p>
                </w:txbxContent>
              </v:textbox>
              <w10:wrap type="square"/>
            </v:shape>
          </w:pict>
        </mc:Fallback>
      </mc:AlternateContent>
    </w:r>
    <w:r w:rsidR="003C5575">
      <w:rPr>
        <w:noProof/>
        <w:lang w:val="en-ZA" w:eastAsia="en-ZA"/>
      </w:rPr>
      <w:drawing>
        <wp:anchor distT="0" distB="0" distL="114300" distR="114300" simplePos="0" relativeHeight="251662336" behindDoc="1" locked="0" layoutInCell="1" allowOverlap="1" wp14:anchorId="40AFAA30" wp14:editId="30230F30">
          <wp:simplePos x="0" y="0"/>
          <wp:positionH relativeFrom="column">
            <wp:posOffset>-285115</wp:posOffset>
          </wp:positionH>
          <wp:positionV relativeFrom="paragraph">
            <wp:posOffset>-788670</wp:posOffset>
          </wp:positionV>
          <wp:extent cx="6800215" cy="1337945"/>
          <wp:effectExtent l="0" t="0" r="6985" b="82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CTfooter.gif"/>
                  <pic:cNvPicPr/>
                </pic:nvPicPr>
                <pic:blipFill>
                  <a:blip r:embed="rId1">
                    <a:extLst>
                      <a:ext uri="{28A0092B-C50C-407E-A947-70E740481C1C}">
                        <a14:useLocalDpi xmlns:a14="http://schemas.microsoft.com/office/drawing/2010/main" val="0"/>
                      </a:ext>
                    </a:extLst>
                  </a:blip>
                  <a:stretch>
                    <a:fillRect/>
                  </a:stretch>
                </pic:blipFill>
                <pic:spPr>
                  <a:xfrm>
                    <a:off x="0" y="0"/>
                    <a:ext cx="6800215" cy="133794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DC5384" w14:textId="77777777" w:rsidR="00FF75FB" w:rsidRDefault="00FF75FB" w:rsidP="00372263">
      <w:r>
        <w:separator/>
      </w:r>
    </w:p>
  </w:footnote>
  <w:footnote w:type="continuationSeparator" w:id="0">
    <w:p w14:paraId="2C93A758" w14:textId="77777777" w:rsidR="00FF75FB" w:rsidRDefault="00FF75FB" w:rsidP="00372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C319C" w14:textId="77777777" w:rsidR="00C227A1" w:rsidRDefault="00C227A1" w:rsidP="009D1D40">
    <w:pPr>
      <w:pStyle w:val="Header"/>
      <w:ind w:right="-64"/>
    </w:pPr>
    <w:r>
      <w:rPr>
        <w:noProof/>
        <w:lang w:val="en-ZA" w:eastAsia="en-ZA"/>
      </w:rPr>
      <w:drawing>
        <wp:anchor distT="0" distB="0" distL="114300" distR="114300" simplePos="0" relativeHeight="251661312" behindDoc="0" locked="0" layoutInCell="1" allowOverlap="1" wp14:anchorId="447AF78C" wp14:editId="18DBF45D">
          <wp:simplePos x="0" y="0"/>
          <wp:positionH relativeFrom="column">
            <wp:posOffset>4686300</wp:posOffset>
          </wp:positionH>
          <wp:positionV relativeFrom="paragraph">
            <wp:posOffset>-176530</wp:posOffset>
          </wp:positionV>
          <wp:extent cx="1802130" cy="1131032"/>
          <wp:effectExtent l="0" t="0" r="1270" b="1206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R.gif"/>
                  <pic:cNvPicPr/>
                </pic:nvPicPr>
                <pic:blipFill>
                  <a:blip r:embed="rId1">
                    <a:extLst>
                      <a:ext uri="{28A0092B-C50C-407E-A947-70E740481C1C}">
                        <a14:useLocalDpi xmlns:a14="http://schemas.microsoft.com/office/drawing/2010/main" val="0"/>
                      </a:ext>
                    </a:extLst>
                  </a:blip>
                  <a:stretch>
                    <a:fillRect/>
                  </a:stretch>
                </pic:blipFill>
                <pic:spPr>
                  <a:xfrm>
                    <a:off x="0" y="0"/>
                    <a:ext cx="1802130" cy="113103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36D23"/>
    <w:multiLevelType w:val="hybridMultilevel"/>
    <w:tmpl w:val="8CFC35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00B6BEE"/>
    <w:multiLevelType w:val="hybridMultilevel"/>
    <w:tmpl w:val="0AA6E596"/>
    <w:lvl w:ilvl="0" w:tplc="49CC7C18">
      <w:numFmt w:val="bullet"/>
      <w:lvlText w:val=""/>
      <w:lvlJc w:val="left"/>
      <w:pPr>
        <w:ind w:left="720" w:hanging="360"/>
      </w:pPr>
      <w:rPr>
        <w:rFonts w:ascii="Symbol" w:eastAsiaTheme="minorEastAsia"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EE07286"/>
    <w:multiLevelType w:val="hybridMultilevel"/>
    <w:tmpl w:val="32AAF1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7CBE560F"/>
    <w:multiLevelType w:val="hybridMultilevel"/>
    <w:tmpl w:val="7548C9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67A"/>
    <w:rsid w:val="000058E2"/>
    <w:rsid w:val="000735E4"/>
    <w:rsid w:val="00090A66"/>
    <w:rsid w:val="000A7AD3"/>
    <w:rsid w:val="000D3026"/>
    <w:rsid w:val="00106E45"/>
    <w:rsid w:val="001E171C"/>
    <w:rsid w:val="001E17BD"/>
    <w:rsid w:val="002114CA"/>
    <w:rsid w:val="00253BB4"/>
    <w:rsid w:val="00310DB7"/>
    <w:rsid w:val="00372263"/>
    <w:rsid w:val="00380832"/>
    <w:rsid w:val="003C5575"/>
    <w:rsid w:val="003D5C39"/>
    <w:rsid w:val="004B2894"/>
    <w:rsid w:val="004D5FD7"/>
    <w:rsid w:val="005967AD"/>
    <w:rsid w:val="005D091F"/>
    <w:rsid w:val="005D4D67"/>
    <w:rsid w:val="0074689F"/>
    <w:rsid w:val="007578F5"/>
    <w:rsid w:val="007734E6"/>
    <w:rsid w:val="007F5910"/>
    <w:rsid w:val="008154D6"/>
    <w:rsid w:val="008B5784"/>
    <w:rsid w:val="008D38CB"/>
    <w:rsid w:val="00907F1B"/>
    <w:rsid w:val="00915712"/>
    <w:rsid w:val="009C6EC1"/>
    <w:rsid w:val="009D1D40"/>
    <w:rsid w:val="009F79E0"/>
    <w:rsid w:val="00AA6D5A"/>
    <w:rsid w:val="00B32778"/>
    <w:rsid w:val="00B53C64"/>
    <w:rsid w:val="00B652A4"/>
    <w:rsid w:val="00C227A1"/>
    <w:rsid w:val="00D97920"/>
    <w:rsid w:val="00DD1606"/>
    <w:rsid w:val="00DE667A"/>
    <w:rsid w:val="00E52A26"/>
    <w:rsid w:val="00F250A4"/>
    <w:rsid w:val="00FD3528"/>
    <w:rsid w:val="00FD5194"/>
    <w:rsid w:val="00FF7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8DC4E5"/>
  <w14:defaultImageDpi w14:val="300"/>
  <w15:docId w15:val="{61D4FF7A-D939-4F05-B576-AA0AB7AE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6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DE667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Header">
    <w:name w:val="header"/>
    <w:basedOn w:val="Normal"/>
    <w:link w:val="HeaderChar"/>
    <w:unhideWhenUsed/>
    <w:rsid w:val="00372263"/>
    <w:pPr>
      <w:tabs>
        <w:tab w:val="center" w:pos="4320"/>
        <w:tab w:val="right" w:pos="8640"/>
      </w:tabs>
    </w:pPr>
  </w:style>
  <w:style w:type="character" w:customStyle="1" w:styleId="HeaderChar">
    <w:name w:val="Header Char"/>
    <w:basedOn w:val="DefaultParagraphFont"/>
    <w:link w:val="Header"/>
    <w:uiPriority w:val="99"/>
    <w:rsid w:val="00372263"/>
  </w:style>
  <w:style w:type="paragraph" w:styleId="Footer">
    <w:name w:val="footer"/>
    <w:basedOn w:val="Normal"/>
    <w:link w:val="FooterChar"/>
    <w:uiPriority w:val="99"/>
    <w:unhideWhenUsed/>
    <w:rsid w:val="00372263"/>
    <w:pPr>
      <w:tabs>
        <w:tab w:val="center" w:pos="4320"/>
        <w:tab w:val="right" w:pos="8640"/>
      </w:tabs>
    </w:pPr>
  </w:style>
  <w:style w:type="character" w:customStyle="1" w:styleId="FooterChar">
    <w:name w:val="Footer Char"/>
    <w:basedOn w:val="DefaultParagraphFont"/>
    <w:link w:val="Footer"/>
    <w:uiPriority w:val="99"/>
    <w:rsid w:val="00372263"/>
  </w:style>
  <w:style w:type="paragraph" w:styleId="BalloonText">
    <w:name w:val="Balloon Text"/>
    <w:basedOn w:val="Normal"/>
    <w:link w:val="BalloonTextChar"/>
    <w:uiPriority w:val="99"/>
    <w:semiHidden/>
    <w:unhideWhenUsed/>
    <w:rsid w:val="003722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72263"/>
    <w:rPr>
      <w:rFonts w:ascii="Lucida Grande" w:hAnsi="Lucida Grande" w:cs="Lucida Grande"/>
      <w:sz w:val="18"/>
      <w:szCs w:val="18"/>
    </w:rPr>
  </w:style>
  <w:style w:type="character" w:styleId="Hyperlink">
    <w:name w:val="Hyperlink"/>
    <w:basedOn w:val="DefaultParagraphFont"/>
    <w:uiPriority w:val="99"/>
    <w:unhideWhenUsed/>
    <w:rsid w:val="00372263"/>
    <w:rPr>
      <w:color w:val="0000FF" w:themeColor="hyperlink"/>
      <w:u w:val="single"/>
    </w:rPr>
  </w:style>
  <w:style w:type="character" w:styleId="FollowedHyperlink">
    <w:name w:val="FollowedHyperlink"/>
    <w:basedOn w:val="DefaultParagraphFont"/>
    <w:uiPriority w:val="99"/>
    <w:semiHidden/>
    <w:unhideWhenUsed/>
    <w:rsid w:val="00372263"/>
    <w:rPr>
      <w:color w:val="800080" w:themeColor="followedHyperlink"/>
      <w:u w:val="single"/>
    </w:rPr>
  </w:style>
  <w:style w:type="paragraph" w:styleId="ListParagraph">
    <w:name w:val="List Paragraph"/>
    <w:basedOn w:val="Normal"/>
    <w:uiPriority w:val="34"/>
    <w:qFormat/>
    <w:rsid w:val="00AA6D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t.ac.za/research/pgfo/abou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ather.sundstrom@uct.ac.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CAAF4-FAD0-4CAF-8FF6-B26BD2B74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Private</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Henk Blom</dc:creator>
  <cp:lastModifiedBy>Kirsten Corin</cp:lastModifiedBy>
  <cp:revision>2</cp:revision>
  <cp:lastPrinted>2019-02-20T08:40:00Z</cp:lastPrinted>
  <dcterms:created xsi:type="dcterms:W3CDTF">2021-06-14T06:32:00Z</dcterms:created>
  <dcterms:modified xsi:type="dcterms:W3CDTF">2021-06-14T06:32:00Z</dcterms:modified>
</cp:coreProperties>
</file>